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48D43" w14:textId="77777777" w:rsidR="00ED4967" w:rsidRDefault="00ED4967" w:rsidP="00630645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99451F4" w14:textId="52D53B33" w:rsidR="00ED4967" w:rsidRPr="009F7643" w:rsidRDefault="00ED4967" w:rsidP="00ED4967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9F7643">
        <w:rPr>
          <w:rFonts w:ascii="Calibri" w:hAnsi="Calibri" w:cs="Calibri"/>
          <w:b/>
          <w:bCs/>
          <w:sz w:val="22"/>
          <w:szCs w:val="22"/>
        </w:rPr>
        <w:t>ZAŁĄCZNIK NR 3.</w:t>
      </w:r>
      <w:r w:rsidR="008239AD" w:rsidRPr="009F7643">
        <w:rPr>
          <w:rFonts w:ascii="Calibri" w:hAnsi="Calibri" w:cs="Calibri"/>
          <w:b/>
          <w:bCs/>
          <w:sz w:val="22"/>
          <w:szCs w:val="22"/>
        </w:rPr>
        <w:t>9</w:t>
      </w:r>
    </w:p>
    <w:p w14:paraId="185D5320" w14:textId="17FBFFE2" w:rsidR="00323797" w:rsidRPr="00975548" w:rsidRDefault="00323797" w:rsidP="00630645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4F4AB23D" w14:textId="5F6D77DB" w:rsidR="00323797" w:rsidRDefault="00323797" w:rsidP="00323797">
      <w:pPr>
        <w:jc w:val="center"/>
      </w:pPr>
      <w:r w:rsidRPr="00323797">
        <w:rPr>
          <w:b/>
          <w:bCs/>
        </w:rPr>
        <w:t xml:space="preserve">Materac przeciwodleżynowy </w:t>
      </w:r>
      <w:r>
        <w:t>w ilości 8 szt.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3968"/>
        <w:gridCol w:w="1419"/>
        <w:gridCol w:w="3113"/>
        <w:gridCol w:w="147"/>
      </w:tblGrid>
      <w:tr w:rsidR="00AE3FF2" w14:paraId="216FBF5B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86C33C9" w14:textId="3A2EA1B0" w:rsidR="00AE3FF2" w:rsidRPr="005230FF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5230F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68" w:type="dxa"/>
          </w:tcPr>
          <w:p w14:paraId="6A0BA61B" w14:textId="07E3242B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419" w:type="dxa"/>
          </w:tcPr>
          <w:p w14:paraId="5BF05A9C" w14:textId="2B515E6C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3113" w:type="dxa"/>
          </w:tcPr>
          <w:p w14:paraId="2ED0F5BA" w14:textId="5C149237" w:rsidR="00AE3FF2" w:rsidRPr="00AE3FF2" w:rsidRDefault="00F278FE" w:rsidP="00AE3FF2">
            <w:pPr>
              <w:rPr>
                <w:b/>
                <w:bCs/>
                <w:sz w:val="20"/>
                <w:szCs w:val="20"/>
              </w:rPr>
            </w:pPr>
            <w:r w:rsidRPr="00A126F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2C109D" w14:paraId="656BE409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570CD748" w14:textId="67C5CCD7" w:rsidR="002C109D" w:rsidRPr="005230FF" w:rsidRDefault="002C109D" w:rsidP="002C109D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</w:t>
            </w:r>
          </w:p>
        </w:tc>
        <w:tc>
          <w:tcPr>
            <w:tcW w:w="3968" w:type="dxa"/>
          </w:tcPr>
          <w:p w14:paraId="22ABBB1A" w14:textId="5F2C2A30" w:rsidR="002C109D" w:rsidRPr="00CA25ED" w:rsidRDefault="002C109D" w:rsidP="002C109D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 xml:space="preserve">Fabrycznie nowe, rok produkcji nie </w:t>
            </w:r>
            <w:r w:rsidR="00F278FE">
              <w:rPr>
                <w:sz w:val="20"/>
                <w:szCs w:val="20"/>
              </w:rPr>
              <w:t xml:space="preserve">starszy </w:t>
            </w:r>
            <w:r w:rsidRPr="00CA25ED">
              <w:rPr>
                <w:sz w:val="20"/>
                <w:szCs w:val="20"/>
              </w:rPr>
              <w:t>niż 2024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31359509" w14:textId="0CC5F904" w:rsidR="002C109D" w:rsidRDefault="002C109D" w:rsidP="002C109D">
            <w:r>
              <w:t>TAK</w:t>
            </w:r>
          </w:p>
        </w:tc>
        <w:tc>
          <w:tcPr>
            <w:tcW w:w="3113" w:type="dxa"/>
          </w:tcPr>
          <w:p w14:paraId="6FA343C6" w14:textId="3C5B6122" w:rsidR="002C109D" w:rsidRDefault="002C109D" w:rsidP="002C109D"/>
        </w:tc>
      </w:tr>
      <w:tr w:rsidR="00F278FE" w14:paraId="568D10F6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71816B1" w14:textId="2A5048E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2</w:t>
            </w:r>
          </w:p>
        </w:tc>
        <w:tc>
          <w:tcPr>
            <w:tcW w:w="3968" w:type="dxa"/>
          </w:tcPr>
          <w:p w14:paraId="722B73F1" w14:textId="6278266E" w:rsidR="00F278FE" w:rsidRPr="00CA25ED" w:rsidRDefault="00F278FE" w:rsidP="00F278FE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>Materac zmiennociśnieniowy</w:t>
            </w:r>
          </w:p>
        </w:tc>
        <w:tc>
          <w:tcPr>
            <w:tcW w:w="1419" w:type="dxa"/>
          </w:tcPr>
          <w:p w14:paraId="080BD745" w14:textId="189BB4C6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494E2923" w14:textId="39B48398" w:rsidR="00F278FE" w:rsidRDefault="00F278FE" w:rsidP="00F278FE"/>
        </w:tc>
      </w:tr>
      <w:tr w:rsidR="00F278FE" w14:paraId="2C10AA3C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CD080C2" w14:textId="650A4007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3</w:t>
            </w:r>
          </w:p>
        </w:tc>
        <w:tc>
          <w:tcPr>
            <w:tcW w:w="3968" w:type="dxa"/>
          </w:tcPr>
          <w:p w14:paraId="65E8990C" w14:textId="73EF1889" w:rsidR="00F278FE" w:rsidRPr="00CA25ED" w:rsidRDefault="00F278FE" w:rsidP="00F278FE">
            <w:pPr>
              <w:rPr>
                <w:sz w:val="20"/>
                <w:szCs w:val="20"/>
              </w:rPr>
            </w:pPr>
            <w:proofErr w:type="spellStart"/>
            <w:r w:rsidRPr="00CA25ED">
              <w:rPr>
                <w:sz w:val="20"/>
                <w:szCs w:val="20"/>
              </w:rPr>
              <w:t>Prostokomorowy</w:t>
            </w:r>
            <w:proofErr w:type="spellEnd"/>
          </w:p>
        </w:tc>
        <w:tc>
          <w:tcPr>
            <w:tcW w:w="1419" w:type="dxa"/>
          </w:tcPr>
          <w:p w14:paraId="274443E4" w14:textId="24EB881A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00ED5634" w14:textId="5D2943E5" w:rsidR="00F278FE" w:rsidRDefault="00F278FE" w:rsidP="00F278FE"/>
        </w:tc>
      </w:tr>
      <w:tr w:rsidR="00F278FE" w14:paraId="22ABA7BB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65F931F" w14:textId="55473285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4</w:t>
            </w:r>
          </w:p>
        </w:tc>
        <w:tc>
          <w:tcPr>
            <w:tcW w:w="3968" w:type="dxa"/>
          </w:tcPr>
          <w:p w14:paraId="6B9BCAA3" w14:textId="61ADD86A" w:rsidR="00F278FE" w:rsidRPr="00CA25ED" w:rsidRDefault="00F278FE" w:rsidP="00F278FE">
            <w:pPr>
              <w:rPr>
                <w:sz w:val="20"/>
                <w:szCs w:val="20"/>
              </w:rPr>
            </w:pPr>
            <w:proofErr w:type="spellStart"/>
            <w:r w:rsidRPr="00CA25ED">
              <w:rPr>
                <w:sz w:val="20"/>
                <w:szCs w:val="20"/>
              </w:rPr>
              <w:t>Pokrwowiec</w:t>
            </w:r>
            <w:proofErr w:type="spellEnd"/>
            <w:r w:rsidRPr="00CA25ED">
              <w:rPr>
                <w:sz w:val="20"/>
                <w:szCs w:val="20"/>
              </w:rPr>
              <w:t xml:space="preserve"> na zamek </w:t>
            </w:r>
            <w:r w:rsidRPr="00C91694">
              <w:rPr>
                <w:color w:val="000000" w:themeColor="text1"/>
                <w:sz w:val="20"/>
                <w:szCs w:val="20"/>
              </w:rPr>
              <w:t xml:space="preserve">błyskawiczny z tkaniny </w:t>
            </w:r>
            <w:proofErr w:type="spellStart"/>
            <w:r w:rsidRPr="00C91694">
              <w:rPr>
                <w:color w:val="000000" w:themeColor="text1"/>
                <w:sz w:val="20"/>
                <w:szCs w:val="20"/>
              </w:rPr>
              <w:t>membramed</w:t>
            </w:r>
            <w:proofErr w:type="spellEnd"/>
            <w:r w:rsidRPr="00C91694">
              <w:rPr>
                <w:color w:val="000000" w:themeColor="text1"/>
                <w:sz w:val="20"/>
                <w:szCs w:val="20"/>
              </w:rPr>
              <w:t xml:space="preserve"> - lub równoważne  </w:t>
            </w:r>
          </w:p>
        </w:tc>
        <w:tc>
          <w:tcPr>
            <w:tcW w:w="1419" w:type="dxa"/>
          </w:tcPr>
          <w:p w14:paraId="40FEBAAE" w14:textId="77777777" w:rsidR="00F278FE" w:rsidRDefault="00F278FE" w:rsidP="00F278FE">
            <w:r>
              <w:t>TAK</w:t>
            </w:r>
          </w:p>
          <w:p w14:paraId="52B9C484" w14:textId="06B80545" w:rsidR="00F278FE" w:rsidRDefault="00F278FE" w:rsidP="00F278FE"/>
        </w:tc>
        <w:tc>
          <w:tcPr>
            <w:tcW w:w="3113" w:type="dxa"/>
          </w:tcPr>
          <w:p w14:paraId="3BB4D066" w14:textId="131E94B1" w:rsidR="00F278FE" w:rsidRDefault="00F278FE" w:rsidP="00F278FE"/>
        </w:tc>
      </w:tr>
      <w:tr w:rsidR="00F278FE" w14:paraId="26D1CDF3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2E4E8022" w14:textId="2769FA53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5</w:t>
            </w:r>
          </w:p>
        </w:tc>
        <w:tc>
          <w:tcPr>
            <w:tcW w:w="3968" w:type="dxa"/>
          </w:tcPr>
          <w:p w14:paraId="149671F8" w14:textId="37E8C532" w:rsidR="00F278FE" w:rsidRPr="00CA25ED" w:rsidRDefault="00F278FE" w:rsidP="00F278FE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>Pompa zasilająca</w:t>
            </w:r>
          </w:p>
        </w:tc>
        <w:tc>
          <w:tcPr>
            <w:tcW w:w="1419" w:type="dxa"/>
          </w:tcPr>
          <w:p w14:paraId="6A9EF3DC" w14:textId="29F27099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6EFE24AC" w14:textId="173AFE61" w:rsidR="00F278FE" w:rsidRDefault="00F278FE" w:rsidP="00F278FE"/>
        </w:tc>
      </w:tr>
      <w:tr w:rsidR="001E1B7B" w14:paraId="30951338" w14:textId="77777777" w:rsidTr="00F278FE">
        <w:trPr>
          <w:gridAfter w:val="1"/>
          <w:wAfter w:w="147" w:type="dxa"/>
        </w:trPr>
        <w:tc>
          <w:tcPr>
            <w:tcW w:w="9062" w:type="dxa"/>
            <w:gridSpan w:val="4"/>
          </w:tcPr>
          <w:p w14:paraId="0B21F3DD" w14:textId="56118C19" w:rsidR="001E1B7B" w:rsidRPr="005230FF" w:rsidRDefault="001E1B7B" w:rsidP="00AE3FF2">
            <w:pPr>
              <w:rPr>
                <w:b/>
                <w:bCs/>
                <w:sz w:val="20"/>
                <w:szCs w:val="20"/>
              </w:rPr>
            </w:pPr>
            <w:r w:rsidRPr="005230FF">
              <w:rPr>
                <w:b/>
                <w:bCs/>
                <w:sz w:val="20"/>
                <w:szCs w:val="20"/>
              </w:rPr>
              <w:t>Elementy niezbędne do prawidłowego funkcjonowania</w:t>
            </w:r>
          </w:p>
        </w:tc>
      </w:tr>
      <w:tr w:rsidR="00F278FE" w14:paraId="3F937E32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20F0C14" w14:textId="27B50C1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6</w:t>
            </w:r>
          </w:p>
        </w:tc>
        <w:tc>
          <w:tcPr>
            <w:tcW w:w="3968" w:type="dxa"/>
          </w:tcPr>
          <w:p w14:paraId="764F5911" w14:textId="6A4A1E6F" w:rsidR="00F278FE" w:rsidRPr="001E1B7B" w:rsidRDefault="00F278FE" w:rsidP="00F27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Materac przeznaczony do t</w:t>
            </w:r>
            <w:r w:rsidRPr="001E1B7B">
              <w:rPr>
                <w:sz w:val="20"/>
                <w:szCs w:val="20"/>
              </w:rPr>
              <w:t>erapi</w:t>
            </w:r>
            <w:r>
              <w:rPr>
                <w:sz w:val="20"/>
                <w:szCs w:val="20"/>
              </w:rPr>
              <w:t>i</w:t>
            </w:r>
            <w:r w:rsidRPr="001E1B7B">
              <w:rPr>
                <w:sz w:val="20"/>
                <w:szCs w:val="20"/>
              </w:rPr>
              <w:t xml:space="preserve"> odleżyn w skali </w:t>
            </w:r>
            <w:r w:rsidRPr="001E1B7B">
              <w:rPr>
                <w:rFonts w:cstheme="minorHAnsi"/>
                <w:sz w:val="20"/>
                <w:szCs w:val="20"/>
              </w:rPr>
              <w:t>≤</w:t>
            </w:r>
            <w:r w:rsidRPr="001E1B7B">
              <w:rPr>
                <w:sz w:val="20"/>
                <w:szCs w:val="20"/>
              </w:rPr>
              <w:t xml:space="preserve"> </w:t>
            </w:r>
            <w:proofErr w:type="spellStart"/>
            <w:r w:rsidRPr="001E1B7B">
              <w:rPr>
                <w:sz w:val="20"/>
                <w:szCs w:val="20"/>
              </w:rPr>
              <w:t>IV</w:t>
            </w:r>
            <w:r w:rsidRPr="001E1B7B">
              <w:rPr>
                <w:sz w:val="20"/>
                <w:szCs w:val="20"/>
                <w:vertAlign w:val="superscript"/>
              </w:rPr>
              <w:t>o</w:t>
            </w:r>
            <w:proofErr w:type="spellEnd"/>
            <w:r w:rsidRPr="001E1B7B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19" w:type="dxa"/>
          </w:tcPr>
          <w:p w14:paraId="5D18E067" w14:textId="3B9603F7" w:rsidR="00F278FE" w:rsidRDefault="00F278FE" w:rsidP="00F278FE">
            <w:r>
              <w:t xml:space="preserve"> </w:t>
            </w:r>
            <w:r w:rsidRPr="007D79F4">
              <w:t>TAK</w:t>
            </w:r>
          </w:p>
        </w:tc>
        <w:tc>
          <w:tcPr>
            <w:tcW w:w="3113" w:type="dxa"/>
          </w:tcPr>
          <w:p w14:paraId="1E65B9BE" w14:textId="53E2516A" w:rsidR="00F278FE" w:rsidRDefault="00F278FE" w:rsidP="00F278FE"/>
        </w:tc>
      </w:tr>
      <w:tr w:rsidR="00F278FE" w14:paraId="0A6551AD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85D2BA5" w14:textId="679E4C5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7</w:t>
            </w:r>
          </w:p>
        </w:tc>
        <w:tc>
          <w:tcPr>
            <w:tcW w:w="3968" w:type="dxa"/>
          </w:tcPr>
          <w:p w14:paraId="4960067F" w14:textId="2144E48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zbudowany z 20 (+/- 2) odpinanych pojedynczo wymiennych komór rurowych poprzecznych, materac wykonany z materiałów: nylonu i poliuretanu.</w:t>
            </w:r>
          </w:p>
        </w:tc>
        <w:tc>
          <w:tcPr>
            <w:tcW w:w="1419" w:type="dxa"/>
          </w:tcPr>
          <w:p w14:paraId="03E620C3" w14:textId="71777813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2E839E86" w14:textId="2C5A20CE" w:rsidR="00F278FE" w:rsidRDefault="00F278FE" w:rsidP="00F278FE"/>
        </w:tc>
      </w:tr>
      <w:tr w:rsidR="00F278FE" w14:paraId="4DBB5B94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BFB08E6" w14:textId="3EE45C7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8</w:t>
            </w:r>
          </w:p>
        </w:tc>
        <w:tc>
          <w:tcPr>
            <w:tcW w:w="3968" w:type="dxa"/>
          </w:tcPr>
          <w:p w14:paraId="18916275" w14:textId="4812D1EB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5 komór specjalnych – w dedykowanej sekcji na pięty wykonanych z poliuretanu, dla rozróżnienia w innej kolorystyce.</w:t>
            </w:r>
          </w:p>
        </w:tc>
        <w:tc>
          <w:tcPr>
            <w:tcW w:w="1419" w:type="dxa"/>
          </w:tcPr>
          <w:p w14:paraId="1C7AE292" w14:textId="43FFE844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3152BA21" w14:textId="18A95BC0" w:rsidR="00F278FE" w:rsidRDefault="00F278FE" w:rsidP="00F278FE"/>
        </w:tc>
      </w:tr>
      <w:tr w:rsidR="00F278FE" w14:paraId="0ADB6AD2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27B52392" w14:textId="59BCCC93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9</w:t>
            </w:r>
          </w:p>
        </w:tc>
        <w:tc>
          <w:tcPr>
            <w:tcW w:w="3968" w:type="dxa"/>
          </w:tcPr>
          <w:p w14:paraId="6B22539B" w14:textId="4D722818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Komory napełniające się powietrzem i opróżniane na przemian (co druga) w stałym  cyklu min. 12 – minutowym</w:t>
            </w:r>
          </w:p>
        </w:tc>
        <w:tc>
          <w:tcPr>
            <w:tcW w:w="1419" w:type="dxa"/>
          </w:tcPr>
          <w:p w14:paraId="1EEE4AA9" w14:textId="5E10FE4D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36B2F7DB" w14:textId="34319138" w:rsidR="00F278FE" w:rsidRDefault="00F278FE" w:rsidP="00F278FE"/>
        </w:tc>
      </w:tr>
      <w:tr w:rsidR="00F278FE" w14:paraId="389214EA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E9DC119" w14:textId="3089FEFD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10</w:t>
            </w:r>
          </w:p>
        </w:tc>
        <w:tc>
          <w:tcPr>
            <w:tcW w:w="3968" w:type="dxa"/>
          </w:tcPr>
          <w:p w14:paraId="2505A883" w14:textId="51286EA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o wymiarach dostosowany do standardowego szpitalnego łóżka</w:t>
            </w:r>
          </w:p>
        </w:tc>
        <w:tc>
          <w:tcPr>
            <w:tcW w:w="1419" w:type="dxa"/>
          </w:tcPr>
          <w:p w14:paraId="651E678E" w14:textId="7E2D3BD2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5A7794BE" w14:textId="6C9CDB38" w:rsidR="00F278FE" w:rsidRDefault="00F278FE" w:rsidP="00F278FE"/>
        </w:tc>
      </w:tr>
      <w:tr w:rsidR="00F278FE" w14:paraId="5238A01C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57393152" w14:textId="0373A78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11</w:t>
            </w:r>
          </w:p>
        </w:tc>
        <w:tc>
          <w:tcPr>
            <w:tcW w:w="3968" w:type="dxa"/>
          </w:tcPr>
          <w:p w14:paraId="4825E83C" w14:textId="631947E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Konstrukcja materaca umożliwiająca łatwe i szybkie usunięcie pojedynczych komór spod leżącego pacjenta.  Na wyposażeniu min.2 szt. dodatkowych zatyczek.</w:t>
            </w:r>
          </w:p>
        </w:tc>
        <w:tc>
          <w:tcPr>
            <w:tcW w:w="1419" w:type="dxa"/>
          </w:tcPr>
          <w:p w14:paraId="714B30A4" w14:textId="4EAB14DA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6C960487" w14:textId="5892F74B" w:rsidR="00F278FE" w:rsidRDefault="00F278FE" w:rsidP="00F278FE"/>
        </w:tc>
      </w:tr>
      <w:tr w:rsidR="00F278FE" w14:paraId="1E4A82C0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1632FC1" w14:textId="28907AEA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12</w:t>
            </w:r>
          </w:p>
        </w:tc>
        <w:tc>
          <w:tcPr>
            <w:tcW w:w="3968" w:type="dxa"/>
          </w:tcPr>
          <w:p w14:paraId="352BFA4C" w14:textId="7CC348B0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Nie wymagający użycia materaca spodniego</w:t>
            </w:r>
          </w:p>
        </w:tc>
        <w:tc>
          <w:tcPr>
            <w:tcW w:w="1419" w:type="dxa"/>
          </w:tcPr>
          <w:p w14:paraId="732E00C2" w14:textId="016CFB43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46E019CC" w14:textId="1925CD24" w:rsidR="00F278FE" w:rsidRDefault="00F278FE" w:rsidP="00F278FE"/>
        </w:tc>
      </w:tr>
      <w:tr w:rsidR="00F278FE" w14:paraId="40C80FB9" w14:textId="77777777" w:rsidTr="00F278FE">
        <w:tc>
          <w:tcPr>
            <w:tcW w:w="562" w:type="dxa"/>
          </w:tcPr>
          <w:p w14:paraId="2B86B8D9" w14:textId="1F1B81CE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13</w:t>
            </w:r>
          </w:p>
        </w:tc>
        <w:tc>
          <w:tcPr>
            <w:tcW w:w="3968" w:type="dxa"/>
          </w:tcPr>
          <w:p w14:paraId="6A6E200A" w14:textId="4AB1E1F5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Oferowany materac spełnia obowiązujące normy niepalności: PN EN 597-1 oraz PN EN 597-2</w:t>
            </w:r>
            <w:r>
              <w:rPr>
                <w:sz w:val="20"/>
                <w:szCs w:val="20"/>
              </w:rPr>
              <w:t xml:space="preserve"> lub równoważne</w:t>
            </w:r>
          </w:p>
        </w:tc>
        <w:tc>
          <w:tcPr>
            <w:tcW w:w="1419" w:type="dxa"/>
          </w:tcPr>
          <w:p w14:paraId="1DD01D37" w14:textId="0B6C5CAE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53FD8AF1" w14:textId="4CD49E49" w:rsidR="00F278FE" w:rsidRDefault="00F278FE" w:rsidP="00F278FE"/>
        </w:tc>
      </w:tr>
      <w:tr w:rsidR="00F278FE" w14:paraId="73B12FA6" w14:textId="77777777" w:rsidTr="00F278FE">
        <w:tc>
          <w:tcPr>
            <w:tcW w:w="562" w:type="dxa"/>
          </w:tcPr>
          <w:p w14:paraId="561013AF" w14:textId="6B5722C4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14</w:t>
            </w:r>
          </w:p>
        </w:tc>
        <w:tc>
          <w:tcPr>
            <w:tcW w:w="3968" w:type="dxa"/>
          </w:tcPr>
          <w:p w14:paraId="41CFF47E" w14:textId="38EB611C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Certyfikat niepalności wystawiony przez niezależną jednostkę</w:t>
            </w:r>
          </w:p>
        </w:tc>
        <w:tc>
          <w:tcPr>
            <w:tcW w:w="1419" w:type="dxa"/>
          </w:tcPr>
          <w:p w14:paraId="61E37065" w14:textId="52297BA0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6D5BBEBC" w14:textId="13C9359B" w:rsidR="00F278FE" w:rsidRDefault="00F278FE" w:rsidP="00F278FE"/>
        </w:tc>
      </w:tr>
      <w:tr w:rsidR="00F278FE" w14:paraId="25835886" w14:textId="77777777" w:rsidTr="00F278FE">
        <w:tc>
          <w:tcPr>
            <w:tcW w:w="562" w:type="dxa"/>
          </w:tcPr>
          <w:p w14:paraId="6F7DEF29" w14:textId="3C3E669E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15</w:t>
            </w:r>
          </w:p>
        </w:tc>
        <w:tc>
          <w:tcPr>
            <w:tcW w:w="3968" w:type="dxa"/>
          </w:tcPr>
          <w:p w14:paraId="4D4CDB79" w14:textId="497BEF99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wyposażony w uchwyty do mocowania na łóżku oraz w każdym narożu uchwyty do mocowania prześcieradła.</w:t>
            </w:r>
          </w:p>
        </w:tc>
        <w:tc>
          <w:tcPr>
            <w:tcW w:w="1419" w:type="dxa"/>
          </w:tcPr>
          <w:p w14:paraId="188C9A3C" w14:textId="73AFF0C7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6505AB23" w14:textId="291A420B" w:rsidR="00F278FE" w:rsidRDefault="00F278FE" w:rsidP="00F278FE"/>
        </w:tc>
      </w:tr>
      <w:tr w:rsidR="00F278FE" w14:paraId="34E9AA4D" w14:textId="77777777" w:rsidTr="00F278FE">
        <w:tc>
          <w:tcPr>
            <w:tcW w:w="562" w:type="dxa"/>
          </w:tcPr>
          <w:p w14:paraId="3AE7DB5B" w14:textId="591914B4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16</w:t>
            </w:r>
          </w:p>
        </w:tc>
        <w:tc>
          <w:tcPr>
            <w:tcW w:w="3968" w:type="dxa"/>
          </w:tcPr>
          <w:p w14:paraId="6BD70141" w14:textId="51E54490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wyposażony w oznaczoną funkcję CPR – podwójny zawór szybkiego spustu powietrza w czasie poniżej 15 sek., oznaczony kolorem czerwonym dla łatwej identyfikacji.</w:t>
            </w:r>
          </w:p>
        </w:tc>
        <w:tc>
          <w:tcPr>
            <w:tcW w:w="1419" w:type="dxa"/>
          </w:tcPr>
          <w:p w14:paraId="32581A98" w14:textId="13C03CC7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7900F5FC" w14:textId="6F646574" w:rsidR="00F278FE" w:rsidRDefault="00F278FE" w:rsidP="00F278FE"/>
        </w:tc>
      </w:tr>
    </w:tbl>
    <w:p w14:paraId="6085ACCF" w14:textId="77777777" w:rsidR="00C91694" w:rsidRPr="00ED4967" w:rsidRDefault="00C91694" w:rsidP="00DC0D62">
      <w:pPr>
        <w:rPr>
          <w:sz w:val="10"/>
          <w:szCs w:val="10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DC0D62" w:rsidRPr="00975548" w14:paraId="4FAB0CB7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C2E00E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A4511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D857B2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A91C30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C0D62" w:rsidRPr="00975548" w14:paraId="03257E35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013B9EC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D07830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9FA12E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F73015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26FC95AF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43071E62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C0D62" w:rsidRPr="00975548" w14:paraId="29CB959F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0675A3F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FDF610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D57FC1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92F4F1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C0D62" w:rsidRPr="00975548" w14:paraId="53A09928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237C6F6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D888CF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0544F0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32B6EE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C0D62" w:rsidRPr="00975548" w14:paraId="1CDCDFB5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20856C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AB5DAC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35565E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3F278C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C0D62" w:rsidRPr="00975548" w14:paraId="2BD258AA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7EDEEB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3AD81A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814B84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253ADA5A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D7688A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C0D62" w:rsidRPr="00975548" w14:paraId="158DB1C7" w14:textId="77777777" w:rsidTr="00630645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A04621" w14:textId="77777777" w:rsidR="00DC0D62" w:rsidRPr="00975548" w:rsidRDefault="00DC0D62" w:rsidP="0063064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AF27B3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92AAFD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59B65ECA" w14:textId="77777777" w:rsidR="00DC0D62" w:rsidRPr="00975548" w:rsidRDefault="00DC0D62" w:rsidP="006306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5F42AD" w14:textId="77777777" w:rsidR="00DC0D62" w:rsidRPr="00975548" w:rsidRDefault="00DC0D62" w:rsidP="00630645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AE4D9C3" w14:textId="77777777" w:rsidR="00ED4967" w:rsidRPr="00ED4967" w:rsidRDefault="00ED4967" w:rsidP="00ED4967">
      <w:pPr>
        <w:ind w:right="-426"/>
        <w:jc w:val="both"/>
        <w:rPr>
          <w:rFonts w:cstheme="minorHAnsi"/>
          <w:sz w:val="20"/>
          <w:szCs w:val="20"/>
        </w:rPr>
      </w:pPr>
      <w:r w:rsidRPr="00ED4967">
        <w:rPr>
          <w:rFonts w:eastAsia="Batang" w:cstheme="minorHAnsi"/>
          <w:bCs/>
          <w:sz w:val="20"/>
          <w:szCs w:val="20"/>
        </w:rPr>
        <w:t>UWAGI:</w:t>
      </w:r>
      <w:r w:rsidRPr="00ED4967">
        <w:rPr>
          <w:rFonts w:cstheme="minorHAnsi"/>
          <w:sz w:val="20"/>
          <w:szCs w:val="20"/>
        </w:rPr>
        <w:t xml:space="preserve"> </w:t>
      </w:r>
    </w:p>
    <w:p w14:paraId="2882D6C0" w14:textId="77777777" w:rsidR="00ED4967" w:rsidRPr="00ED4967" w:rsidRDefault="00ED4967" w:rsidP="00ED4967">
      <w:pPr>
        <w:pBdr>
          <w:top w:val="nil"/>
          <w:left w:val="nil"/>
          <w:bottom w:val="nil"/>
          <w:right w:val="nil"/>
          <w:between w:val="nil"/>
          <w:bar w:val="nil"/>
        </w:pBdr>
        <w:ind w:right="-426"/>
        <w:rPr>
          <w:rFonts w:cstheme="minorHAnsi"/>
          <w:color w:val="000000"/>
          <w:sz w:val="20"/>
          <w:szCs w:val="20"/>
          <w:u w:color="000000"/>
          <w:bdr w:val="nil"/>
        </w:rPr>
      </w:pPr>
      <w:r w:rsidRPr="00ED4967">
        <w:rPr>
          <w:rFonts w:eastAsia="Batang" w:cstheme="minorHAnsi"/>
          <w:color w:val="000000"/>
          <w:sz w:val="20"/>
          <w:szCs w:val="2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33C2E780" w14:textId="77C5E9D6" w:rsidR="00ED4967" w:rsidRPr="007B4586" w:rsidRDefault="00ED4967" w:rsidP="007B4586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right="-426"/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</w:pPr>
      <w:r w:rsidRPr="00ED4967">
        <w:rPr>
          <w:rFonts w:eastAsia="Batang" w:cstheme="minorHAnsi"/>
          <w:color w:val="000000"/>
          <w:sz w:val="20"/>
          <w:szCs w:val="20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ED4967"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  <w:t>3. Oświadczam, że oferowany przedmiot zamówienia spełnia wszystkie powyższe wymagania Zamawiającego.</w:t>
      </w:r>
    </w:p>
    <w:p w14:paraId="5737E09B" w14:textId="77777777" w:rsidR="00ED4967" w:rsidRPr="00ED4967" w:rsidRDefault="00ED4967" w:rsidP="00ED4967">
      <w:pPr>
        <w:widowControl w:val="0"/>
        <w:ind w:right="-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D4967">
        <w:rPr>
          <w:rFonts w:ascii="Calibri" w:hAnsi="Calibri" w:cs="Calibri"/>
          <w:color w:val="000000" w:themeColor="text1"/>
          <w:sz w:val="20"/>
          <w:szCs w:val="20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5B0829D" w14:textId="77777777" w:rsidR="00ED4967" w:rsidRPr="00ED4967" w:rsidRDefault="00ED4967" w:rsidP="00ED4967">
      <w:pPr>
        <w:widowControl w:val="0"/>
        <w:ind w:right="-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D4967">
        <w:rPr>
          <w:rFonts w:ascii="Calibri" w:hAnsi="Calibri" w:cs="Calibri"/>
          <w:color w:val="000000" w:themeColor="text1"/>
          <w:sz w:val="20"/>
          <w:szCs w:val="20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2F8F6E85" w14:textId="77777777" w:rsidR="00ED4967" w:rsidRPr="00ED4967" w:rsidRDefault="00ED4967" w:rsidP="00ED4967">
      <w:pPr>
        <w:tabs>
          <w:tab w:val="left" w:pos="426"/>
        </w:tabs>
        <w:spacing w:after="120"/>
        <w:ind w:right="-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D4967">
        <w:rPr>
          <w:rFonts w:ascii="Calibri" w:hAnsi="Calibri" w:cs="Calibri"/>
          <w:color w:val="000000" w:themeColor="text1"/>
          <w:sz w:val="20"/>
          <w:szCs w:val="20"/>
        </w:rPr>
        <w:t xml:space="preserve">Przez rozwiązania równoważne zamawiający rozumie takie, które co najmniej spełniają wymagania określone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br/>
        <w:t xml:space="preserve">w niniejszym załączniku oraz charakteryzują się parametrami technicznymi, jakościowymi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softHyphen/>
        <w:t>ważne.</w:t>
      </w:r>
    </w:p>
    <w:p w14:paraId="2C8FA19C" w14:textId="13E5D38F" w:rsidR="00ED4967" w:rsidRPr="00ED4967" w:rsidRDefault="00ED4967" w:rsidP="00ED4967">
      <w:pPr>
        <w:tabs>
          <w:tab w:val="left" w:pos="426"/>
        </w:tabs>
        <w:spacing w:after="120"/>
        <w:ind w:right="-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D4967">
        <w:rPr>
          <w:rFonts w:ascii="Calibri" w:hAnsi="Calibri" w:cs="Calibri"/>
          <w:color w:val="000000" w:themeColor="text1"/>
          <w:sz w:val="20"/>
          <w:szCs w:val="20"/>
        </w:rPr>
        <w:t>W przypadku, gdy w opisie przedmiotu zamówienia znajdą się odniesienia do norm,</w:t>
      </w:r>
      <w:r w:rsidRPr="00ED4967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ocen</w:t>
      </w:r>
      <w:r w:rsidRPr="00ED4967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ED4967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specyfikacji</w:t>
      </w:r>
      <w:r w:rsidRPr="00ED4967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technicznych</w:t>
      </w:r>
      <w:r w:rsidRPr="00ED4967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i</w:t>
      </w:r>
      <w:r w:rsidRPr="00ED4967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systemów</w:t>
      </w:r>
      <w:r w:rsidRPr="00ED4967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referencji</w:t>
      </w:r>
      <w:r w:rsidRPr="00ED4967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ED4967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o</w:t>
      </w:r>
      <w:r w:rsidRPr="00ED4967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których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mowa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w</w:t>
      </w:r>
      <w:r w:rsidRPr="00ED4967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art.</w:t>
      </w:r>
      <w:r w:rsidRPr="00ED4967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101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ED4967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1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pkt</w:t>
      </w:r>
      <w:r w:rsidRPr="00ED4967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2)</w:t>
      </w:r>
      <w:r w:rsidRPr="00ED4967">
        <w:rPr>
          <w:rFonts w:ascii="Calibri" w:hAnsi="Calibri" w:cs="Calibri"/>
          <w:color w:val="000000" w:themeColor="text1"/>
          <w:spacing w:val="-13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ED4967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3</w:t>
      </w:r>
      <w:r w:rsidRPr="00ED4967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ustawy</w:t>
      </w:r>
      <w:r w:rsidRPr="00ED4967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Pzp,</w:t>
      </w:r>
      <w:r w:rsidRPr="00ED4967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Zamawiający</w:t>
      </w:r>
      <w:r w:rsidRPr="00ED4967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>dopuszcza</w:t>
      </w:r>
      <w:r w:rsidRPr="00ED4967">
        <w:rPr>
          <w:rFonts w:ascii="Calibri" w:hAnsi="Calibri" w:cs="Calibri"/>
          <w:color w:val="000000" w:themeColor="text1"/>
          <w:spacing w:val="-68"/>
          <w:sz w:val="20"/>
          <w:szCs w:val="20"/>
        </w:rPr>
        <w:t xml:space="preserve">   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 xml:space="preserve"> rozwiązania</w:t>
      </w:r>
      <w:r w:rsidRPr="00ED4967">
        <w:rPr>
          <w:rFonts w:ascii="Calibri" w:hAnsi="Calibri" w:cs="Calibri"/>
          <w:color w:val="000000" w:themeColor="text1"/>
          <w:spacing w:val="-2"/>
          <w:sz w:val="20"/>
          <w:szCs w:val="20"/>
        </w:rPr>
        <w:t xml:space="preserve"> </w:t>
      </w:r>
      <w:r w:rsidRPr="00ED4967">
        <w:rPr>
          <w:rFonts w:ascii="Calibri" w:hAnsi="Calibri" w:cs="Calibri"/>
          <w:color w:val="000000" w:themeColor="text1"/>
          <w:sz w:val="20"/>
          <w:szCs w:val="20"/>
        </w:rPr>
        <w:t xml:space="preserve">równoważne pod względem metodologii postępowania, zakresu, funkcjonalności, możliwości zastosowania, przechowywania, działania i innych cech opisanych w normach. </w:t>
      </w:r>
    </w:p>
    <w:p w14:paraId="5515AC8D" w14:textId="171020A1" w:rsidR="00ED4967" w:rsidRPr="007B4586" w:rsidRDefault="00ED4967" w:rsidP="007B4586">
      <w:pPr>
        <w:ind w:right="-426"/>
        <w:jc w:val="both"/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</w:pPr>
      <w:r w:rsidRPr="00ED4967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ED4967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ED4967">
        <w:rPr>
          <w:rStyle w:val="Pogrubienie"/>
          <w:rFonts w:ascii="Calibri" w:hAnsi="Calibri" w:cs="Calibri"/>
          <w:color w:val="000000" w:themeColor="text1"/>
          <w:sz w:val="20"/>
          <w:szCs w:val="20"/>
        </w:rPr>
        <w:t>dopuszcza się rozwiązania równoważne opisywanym, i jednocześnie w każdym miejscu Zamawiający wprowadza określenie "lub równoważne"</w:t>
      </w:r>
      <w:r w:rsidRPr="00ED4967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ED4967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(</w:t>
      </w:r>
      <w:hyperlink r:id="rId7" w:anchor="prawo1" w:tooltip="Odnośnik do właściwego zapisu prawnego" w:history="1">
        <w:r w:rsidRPr="00ED4967">
          <w:rPr>
            <w:rStyle w:val="Hipercze"/>
            <w:rFonts w:ascii="Calibri" w:hAnsi="Calibri" w:cs="Calibri"/>
            <w:color w:val="000000" w:themeColor="text1"/>
            <w:sz w:val="20"/>
            <w:szCs w:val="20"/>
          </w:rPr>
          <w:t>podstawa prawna art. 42 ust. 3 dyrektywy 2014/24/UE</w:t>
        </w:r>
      </w:hyperlink>
      <w:r w:rsidRPr="00ED4967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).</w:t>
      </w:r>
    </w:p>
    <w:p w14:paraId="3B898932" w14:textId="77777777" w:rsidR="00ED4967" w:rsidRPr="00BF6E04" w:rsidRDefault="00ED4967" w:rsidP="00ED4967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01E78BA5" w14:textId="77777777" w:rsidR="00ED4967" w:rsidRDefault="00ED4967" w:rsidP="00DC0D62"/>
    <w:sectPr w:rsidR="00ED4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BBF4" w14:textId="77777777" w:rsidR="0043738F" w:rsidRDefault="0043738F" w:rsidP="00C91694">
      <w:pPr>
        <w:spacing w:after="0" w:line="240" w:lineRule="auto"/>
      </w:pPr>
      <w:r>
        <w:separator/>
      </w:r>
    </w:p>
  </w:endnote>
  <w:endnote w:type="continuationSeparator" w:id="0">
    <w:p w14:paraId="26CB61A0" w14:textId="77777777" w:rsidR="0043738F" w:rsidRDefault="0043738F" w:rsidP="00C9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2C4B6" w14:textId="77777777" w:rsidR="0043738F" w:rsidRDefault="0043738F" w:rsidP="00C91694">
      <w:pPr>
        <w:spacing w:after="0" w:line="240" w:lineRule="auto"/>
      </w:pPr>
      <w:r>
        <w:separator/>
      </w:r>
    </w:p>
  </w:footnote>
  <w:footnote w:type="continuationSeparator" w:id="0">
    <w:p w14:paraId="35715FC9" w14:textId="77777777" w:rsidR="0043738F" w:rsidRDefault="0043738F" w:rsidP="00C9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6414" w14:textId="0273FBFA" w:rsidR="00C91694" w:rsidRDefault="00C91694">
    <w:pPr>
      <w:pStyle w:val="Nagwek"/>
    </w:pPr>
    <w:r w:rsidRPr="00E60719">
      <w:rPr>
        <w:noProof/>
      </w:rPr>
      <w:drawing>
        <wp:inline distT="0" distB="0" distL="0" distR="0" wp14:anchorId="3696496A" wp14:editId="38C74D6C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91BFA"/>
    <w:rsid w:val="00136390"/>
    <w:rsid w:val="00170CD0"/>
    <w:rsid w:val="001C6295"/>
    <w:rsid w:val="001E1B7B"/>
    <w:rsid w:val="00215623"/>
    <w:rsid w:val="002561DF"/>
    <w:rsid w:val="002662DA"/>
    <w:rsid w:val="002C109D"/>
    <w:rsid w:val="002C7D14"/>
    <w:rsid w:val="002E59C4"/>
    <w:rsid w:val="00310F9E"/>
    <w:rsid w:val="00315B19"/>
    <w:rsid w:val="00323797"/>
    <w:rsid w:val="00347A21"/>
    <w:rsid w:val="00396956"/>
    <w:rsid w:val="003A349A"/>
    <w:rsid w:val="00431E2F"/>
    <w:rsid w:val="0043738F"/>
    <w:rsid w:val="00485CF3"/>
    <w:rsid w:val="00495C1E"/>
    <w:rsid w:val="004A3073"/>
    <w:rsid w:val="004E3FBA"/>
    <w:rsid w:val="005230FF"/>
    <w:rsid w:val="005C45AD"/>
    <w:rsid w:val="005F1FA4"/>
    <w:rsid w:val="0064109F"/>
    <w:rsid w:val="00643714"/>
    <w:rsid w:val="00696354"/>
    <w:rsid w:val="006E05D4"/>
    <w:rsid w:val="00796CF0"/>
    <w:rsid w:val="007B4586"/>
    <w:rsid w:val="007D5F86"/>
    <w:rsid w:val="007D79F4"/>
    <w:rsid w:val="00802D9C"/>
    <w:rsid w:val="008239AD"/>
    <w:rsid w:val="009738AF"/>
    <w:rsid w:val="0098291D"/>
    <w:rsid w:val="009C533C"/>
    <w:rsid w:val="009F7643"/>
    <w:rsid w:val="00A833F9"/>
    <w:rsid w:val="00AE3FF2"/>
    <w:rsid w:val="00B46CC0"/>
    <w:rsid w:val="00B57E47"/>
    <w:rsid w:val="00BB5FD3"/>
    <w:rsid w:val="00C128AB"/>
    <w:rsid w:val="00C91694"/>
    <w:rsid w:val="00CA25ED"/>
    <w:rsid w:val="00D55CFC"/>
    <w:rsid w:val="00D57E5B"/>
    <w:rsid w:val="00D661AE"/>
    <w:rsid w:val="00DC0D62"/>
    <w:rsid w:val="00E1084E"/>
    <w:rsid w:val="00ED4967"/>
    <w:rsid w:val="00F134FE"/>
    <w:rsid w:val="00F278FE"/>
    <w:rsid w:val="00F42E20"/>
    <w:rsid w:val="00FC63E0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694"/>
  </w:style>
  <w:style w:type="paragraph" w:styleId="Stopka">
    <w:name w:val="footer"/>
    <w:basedOn w:val="Normalny"/>
    <w:link w:val="StopkaZnak"/>
    <w:uiPriority w:val="99"/>
    <w:unhideWhenUsed/>
    <w:rsid w:val="00C9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694"/>
  </w:style>
  <w:style w:type="character" w:styleId="Hipercze">
    <w:name w:val="Hyperlink"/>
    <w:rsid w:val="00C9169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C91694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9169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F278FE"/>
    <w:rPr>
      <w:b/>
      <w:bCs/>
    </w:rPr>
  </w:style>
  <w:style w:type="character" w:customStyle="1" w:styleId="apple-converted-space">
    <w:name w:val="apple-converted-space"/>
    <w:basedOn w:val="Domylnaczcionkaakapitu"/>
    <w:rsid w:val="00F2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Pati D.</cp:lastModifiedBy>
  <cp:revision>13</cp:revision>
  <cp:lastPrinted>2025-09-06T20:15:00Z</cp:lastPrinted>
  <dcterms:created xsi:type="dcterms:W3CDTF">2025-09-06T20:14:00Z</dcterms:created>
  <dcterms:modified xsi:type="dcterms:W3CDTF">2025-12-29T18:40:00Z</dcterms:modified>
</cp:coreProperties>
</file>